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20" w:rsidRDefault="00D00120" w:rsidP="00D00120">
      <w:pPr>
        <w:pBdr>
          <w:bottom w:val="double" w:sz="6" w:space="1" w:color="auto"/>
        </w:pBdr>
      </w:pPr>
    </w:p>
    <w:p w:rsidR="00D00120" w:rsidRDefault="00D00120" w:rsidP="00D00120">
      <w:pPr>
        <w:pStyle w:val="Listepuces"/>
        <w:tabs>
          <w:tab w:val="left" w:pos="10773"/>
        </w:tabs>
        <w:ind w:left="0" w:right="-574" w:firstLine="0"/>
        <w:jc w:val="center"/>
        <w:rPr>
          <w:b/>
          <w:color w:val="000080"/>
        </w:rPr>
      </w:pPr>
      <w:r>
        <w:rPr>
          <w:b/>
          <w:color w:val="000080"/>
        </w:rPr>
        <w:t>Compte rendu de la réunion du mardi 12 janvier 2016</w:t>
      </w:r>
    </w:p>
    <w:p w:rsidR="00D00120" w:rsidRDefault="00D00120" w:rsidP="00D00120">
      <w:pPr>
        <w:pStyle w:val="Listepuces"/>
        <w:ind w:left="0" w:right="-574" w:firstLine="0"/>
        <w:jc w:val="both"/>
        <w:rPr>
          <w:b/>
        </w:rPr>
      </w:pPr>
    </w:p>
    <w:p w:rsidR="00D00120" w:rsidRDefault="00D00120" w:rsidP="00D00120">
      <w:pPr>
        <w:pStyle w:val="Listepuces"/>
        <w:ind w:left="0" w:right="-574" w:firstLine="0"/>
        <w:jc w:val="both"/>
        <w:rPr>
          <w:bCs/>
        </w:rPr>
      </w:pPr>
      <w:r>
        <w:rPr>
          <w:b/>
          <w:bCs/>
        </w:rPr>
        <w:t>Vœux 2016</w:t>
      </w:r>
      <w:r>
        <w:rPr>
          <w:bCs/>
        </w:rPr>
        <w:t xml:space="preserve"> </w:t>
      </w:r>
    </w:p>
    <w:p w:rsidR="00D00120" w:rsidRDefault="00D00120" w:rsidP="00D00120">
      <w:pPr>
        <w:pStyle w:val="Listepuces"/>
        <w:ind w:left="0" w:right="-574" w:firstLine="0"/>
        <w:jc w:val="both"/>
        <w:rPr>
          <w:bCs/>
        </w:rPr>
      </w:pPr>
      <w:r>
        <w:rPr>
          <w:bCs/>
        </w:rPr>
        <w:t xml:space="preserve">Paul </w:t>
      </w:r>
      <w:proofErr w:type="spellStart"/>
      <w:r>
        <w:rPr>
          <w:bCs/>
          <w:u w:val="single"/>
        </w:rPr>
        <w:t>Péricchi</w:t>
      </w:r>
      <w:proofErr w:type="spellEnd"/>
      <w:r>
        <w:rPr>
          <w:bCs/>
        </w:rPr>
        <w:t xml:space="preserve"> remercie les consultants qui ont adressé leurs vœux à l’équipe de direction et adresse à son tour ses meilleurs vœux de pleine réussite à chacun d’eux.</w:t>
      </w:r>
    </w:p>
    <w:p w:rsidR="00D00120" w:rsidRDefault="00D00120" w:rsidP="00D00120">
      <w:pPr>
        <w:pStyle w:val="Listepuces"/>
        <w:ind w:left="0" w:right="-574" w:firstLine="0"/>
        <w:jc w:val="both"/>
        <w:rPr>
          <w:bCs/>
        </w:rPr>
      </w:pPr>
      <w:r>
        <w:rPr>
          <w:bCs/>
        </w:rPr>
        <w:t xml:space="preserve">Il souligne les 3 axes de développement de l’activité de CC pour 2016 :  </w:t>
      </w:r>
    </w:p>
    <w:p w:rsidR="00D00120" w:rsidRDefault="00D00120" w:rsidP="00D00120">
      <w:pPr>
        <w:pStyle w:val="Listepuces"/>
        <w:numPr>
          <w:ilvl w:val="0"/>
          <w:numId w:val="1"/>
        </w:numPr>
        <w:ind w:right="-574"/>
        <w:jc w:val="both"/>
        <w:rPr>
          <w:bCs/>
        </w:rPr>
      </w:pPr>
      <w:r>
        <w:rPr>
          <w:bCs/>
        </w:rPr>
        <w:t xml:space="preserve">Poursuivre l’action de l’équipe ‘AVEC CC’ qui cible les fonds d’investissement et entretient le contact avec ces derniers par tout moyen dont une newsletter spécifiquement dédiée à ces prospects. </w:t>
      </w:r>
    </w:p>
    <w:p w:rsidR="00D00120" w:rsidRDefault="00D00120" w:rsidP="00D00120">
      <w:pPr>
        <w:pStyle w:val="Listepuces"/>
        <w:numPr>
          <w:ilvl w:val="0"/>
          <w:numId w:val="1"/>
        </w:numPr>
        <w:ind w:right="-574"/>
        <w:jc w:val="both"/>
        <w:rPr>
          <w:bCs/>
        </w:rPr>
      </w:pPr>
      <w:r>
        <w:rPr>
          <w:bCs/>
        </w:rPr>
        <w:t xml:space="preserve">Resserrer le partenariat avec </w:t>
      </w:r>
      <w:proofErr w:type="spellStart"/>
      <w:r>
        <w:rPr>
          <w:bCs/>
        </w:rPr>
        <w:t>bpifrance</w:t>
      </w:r>
      <w:proofErr w:type="spellEnd"/>
      <w:r>
        <w:rPr>
          <w:bCs/>
        </w:rPr>
        <w:t xml:space="preserve"> dont le bilan positif a été fait lors de la réunion de décembre. </w:t>
      </w:r>
    </w:p>
    <w:p w:rsidR="00D00120" w:rsidRDefault="00D00120" w:rsidP="00D00120">
      <w:pPr>
        <w:pStyle w:val="Listepuces"/>
        <w:numPr>
          <w:ilvl w:val="0"/>
          <w:numId w:val="1"/>
        </w:numPr>
        <w:ind w:right="-574"/>
        <w:jc w:val="both"/>
        <w:rPr>
          <w:bCs/>
        </w:rPr>
      </w:pPr>
      <w:r>
        <w:rPr>
          <w:bCs/>
        </w:rPr>
        <w:t xml:space="preserve">Exploiter le nouvel axe de la « Confiance Numérique ». C’est l’objet de la présentation de ce jour faite par </w:t>
      </w:r>
      <w:proofErr w:type="spellStart"/>
      <w:r>
        <w:rPr>
          <w:bCs/>
        </w:rPr>
        <w:t>Eric</w:t>
      </w:r>
      <w:proofErr w:type="spellEnd"/>
      <w:r>
        <w:rPr>
          <w:bCs/>
        </w:rPr>
        <w:t xml:space="preserve"> </w:t>
      </w:r>
      <w:r>
        <w:rPr>
          <w:bCs/>
          <w:u w:val="single"/>
        </w:rPr>
        <w:t>Normand</w:t>
      </w:r>
      <w:r>
        <w:rPr>
          <w:bCs/>
        </w:rPr>
        <w:t xml:space="preserve"> qui vient en appui, dans le cadre d’un partenariat à définir, de notre axe de développement centré sur la transformation numérique. Notre sentiment est qu’une fenêtre de tir vient de s’ouvrir avec la publication de l’agenda réglementaire européen dans le domaine du numérique. Il revient à chaque consultant de s’y engager à la mesure de sa motivation, de ses compétences et de ses disponibilités.  En conclusion, Paul reprend l’expression en vogue à CC : il y a une « </w:t>
      </w:r>
      <w:proofErr w:type="spellStart"/>
      <w:r>
        <w:rPr>
          <w:bCs/>
        </w:rPr>
        <w:t>compelling</w:t>
      </w:r>
      <w:proofErr w:type="spellEnd"/>
      <w:r>
        <w:rPr>
          <w:bCs/>
        </w:rPr>
        <w:t xml:space="preserve"> </w:t>
      </w:r>
      <w:proofErr w:type="spellStart"/>
      <w:r>
        <w:rPr>
          <w:bCs/>
        </w:rPr>
        <w:t>reason</w:t>
      </w:r>
      <w:proofErr w:type="spellEnd"/>
      <w:r>
        <w:rPr>
          <w:bCs/>
        </w:rPr>
        <w:t xml:space="preserve"> to </w:t>
      </w:r>
      <w:proofErr w:type="spellStart"/>
      <w:r>
        <w:rPr>
          <w:bCs/>
        </w:rPr>
        <w:t>act</w:t>
      </w:r>
      <w:proofErr w:type="spellEnd"/>
      <w:r>
        <w:rPr>
          <w:bCs/>
        </w:rPr>
        <w:t xml:space="preserve"> » de la part des entreprises, </w:t>
      </w:r>
      <w:proofErr w:type="gramStart"/>
      <w:r>
        <w:rPr>
          <w:bCs/>
        </w:rPr>
        <w:t>saisissons la</w:t>
      </w:r>
      <w:proofErr w:type="gramEnd"/>
      <w:r>
        <w:rPr>
          <w:bCs/>
        </w:rPr>
        <w:t> !</w:t>
      </w:r>
    </w:p>
    <w:p w:rsidR="00D00120" w:rsidRDefault="00D00120" w:rsidP="00D00120">
      <w:pPr>
        <w:pStyle w:val="Listepuces"/>
        <w:ind w:left="0" w:right="-574" w:firstLine="0"/>
        <w:jc w:val="both"/>
        <w:rPr>
          <w:b/>
          <w:bCs/>
          <w:u w:val="single"/>
        </w:rPr>
      </w:pPr>
    </w:p>
    <w:p w:rsidR="00D00120" w:rsidRDefault="00D00120" w:rsidP="00D00120">
      <w:pPr>
        <w:pStyle w:val="Listepuces"/>
        <w:ind w:left="0" w:right="-574" w:firstLine="0"/>
        <w:jc w:val="both"/>
        <w:rPr>
          <w:bCs/>
        </w:rPr>
      </w:pPr>
      <w:r>
        <w:rPr>
          <w:b/>
          <w:bCs/>
        </w:rPr>
        <w:t xml:space="preserve">Intervention </w:t>
      </w:r>
      <w:proofErr w:type="spellStart"/>
      <w:r>
        <w:rPr>
          <w:b/>
          <w:bCs/>
        </w:rPr>
        <w:t>d’Eric</w:t>
      </w:r>
      <w:proofErr w:type="spellEnd"/>
      <w:r>
        <w:rPr>
          <w:b/>
          <w:bCs/>
        </w:rPr>
        <w:t xml:space="preserve"> Normand</w:t>
      </w:r>
      <w:r>
        <w:rPr>
          <w:bCs/>
        </w:rPr>
        <w:t xml:space="preserve"> sur le thème de la « Confiance Numérique » </w:t>
      </w:r>
    </w:p>
    <w:p w:rsidR="00D00120" w:rsidRDefault="00D00120" w:rsidP="00D00120">
      <w:pPr>
        <w:pStyle w:val="Listepuces"/>
        <w:ind w:left="0" w:right="-574" w:firstLine="0"/>
        <w:jc w:val="both"/>
        <w:rPr>
          <w:bCs/>
        </w:rPr>
      </w:pPr>
    </w:p>
    <w:p w:rsidR="00D00120" w:rsidRDefault="00D00120" w:rsidP="00D00120">
      <w:pPr>
        <w:pStyle w:val="Listepuces"/>
        <w:ind w:left="0" w:right="-574" w:firstLine="0"/>
        <w:jc w:val="both"/>
        <w:rPr>
          <w:bCs/>
        </w:rPr>
      </w:pPr>
      <w:r>
        <w:rPr>
          <w:bCs/>
        </w:rPr>
        <w:t xml:space="preserve">Bruno </w:t>
      </w:r>
      <w:r>
        <w:rPr>
          <w:bCs/>
          <w:u w:val="single"/>
        </w:rPr>
        <w:t>Couturier</w:t>
      </w:r>
      <w:r>
        <w:rPr>
          <w:bCs/>
        </w:rPr>
        <w:t xml:space="preserve"> rappelle l’implication de CC dans le domaine de la transformation numérique. Pour faire gagner du temps aux consultants, Bruno a pris l’initiative d’inviter </w:t>
      </w:r>
      <w:proofErr w:type="spellStart"/>
      <w:r>
        <w:rPr>
          <w:bCs/>
        </w:rPr>
        <w:t>Eric</w:t>
      </w:r>
      <w:proofErr w:type="spellEnd"/>
      <w:r>
        <w:rPr>
          <w:bCs/>
        </w:rPr>
        <w:t xml:space="preserve"> </w:t>
      </w:r>
      <w:r>
        <w:rPr>
          <w:bCs/>
          <w:u w:val="single"/>
        </w:rPr>
        <w:t>Normand</w:t>
      </w:r>
      <w:r>
        <w:rPr>
          <w:bCs/>
        </w:rPr>
        <w:t xml:space="preserve">, expert passionné de la « Confiance Numérique » ; c’est en effet maintenant qu’il faut saisir les opportunités de missions liées à l’agenda réglementaire européen. Depuis 15 ans, </w:t>
      </w:r>
      <w:proofErr w:type="spellStart"/>
      <w:r>
        <w:rPr>
          <w:bCs/>
        </w:rPr>
        <w:t>Eric</w:t>
      </w:r>
      <w:proofErr w:type="spellEnd"/>
      <w:r>
        <w:rPr>
          <w:bCs/>
        </w:rPr>
        <w:t xml:space="preserve"> s’est impliqué dans la Fédération Nationale des Tiers de Confiance (FNTC), fait de la formation et réalise dans le cadre de sa société de conseil CLEONA des missions opérationnelles avec des partenaires dont CC présente à l’évidence le profil ad hoc. </w:t>
      </w:r>
    </w:p>
    <w:p w:rsidR="00D00120" w:rsidRDefault="00D00120" w:rsidP="00D00120">
      <w:pPr>
        <w:pStyle w:val="Listepuces"/>
        <w:ind w:left="0" w:right="-574" w:firstLine="0"/>
        <w:jc w:val="both"/>
        <w:rPr>
          <w:bCs/>
        </w:rPr>
      </w:pPr>
      <w:r>
        <w:rPr>
          <w:bCs/>
        </w:rPr>
        <w:t xml:space="preserve">L’exposé </w:t>
      </w:r>
      <w:proofErr w:type="spellStart"/>
      <w:r>
        <w:rPr>
          <w:bCs/>
        </w:rPr>
        <w:t>d’Eric</w:t>
      </w:r>
      <w:proofErr w:type="spellEnd"/>
      <w:r>
        <w:rPr>
          <w:bCs/>
        </w:rPr>
        <w:t xml:space="preserve"> est en pièce jointe du présent compte-rendu.</w:t>
      </w:r>
    </w:p>
    <w:p w:rsidR="00D00120" w:rsidRDefault="00D00120" w:rsidP="00D00120">
      <w:pPr>
        <w:pStyle w:val="Listepuces"/>
        <w:ind w:left="0" w:right="-574" w:firstLine="0"/>
        <w:jc w:val="both"/>
        <w:rPr>
          <w:bCs/>
        </w:rPr>
      </w:pPr>
      <w:r>
        <w:rPr>
          <w:bCs/>
        </w:rPr>
        <w:t xml:space="preserve">Les consultants volontaires sont priés de se faire connaître auprès de Bruno. </w:t>
      </w:r>
    </w:p>
    <w:p w:rsidR="00D00120" w:rsidRDefault="00D00120" w:rsidP="00D00120">
      <w:pPr>
        <w:pStyle w:val="Listepuces"/>
        <w:ind w:left="0" w:right="-574" w:firstLine="0"/>
        <w:jc w:val="both"/>
        <w:rPr>
          <w:bCs/>
        </w:rPr>
      </w:pPr>
      <w:r>
        <w:rPr>
          <w:bCs/>
        </w:rPr>
        <w:t>L’information relative à la mise en œuvre pratique de ce partenariat fera l’objet de communications ultérieures au cours de nos réunions du mardi.</w:t>
      </w:r>
    </w:p>
    <w:p w:rsidR="00D00120" w:rsidRDefault="00D00120" w:rsidP="00D00120">
      <w:pPr>
        <w:pStyle w:val="Listepuces"/>
        <w:ind w:left="0" w:right="-574" w:firstLine="0"/>
        <w:jc w:val="both"/>
        <w:rPr>
          <w:bCs/>
        </w:rPr>
      </w:pPr>
      <w:r>
        <w:rPr>
          <w:bCs/>
        </w:rPr>
        <w:t xml:space="preserve">Pour votre information complémentaire sur le sujet général de la confiance numérique vous trouverez ci-dessous des liens vers des sites internet sélectionnés par notre camarade Charles-Antoine </w:t>
      </w:r>
      <w:r>
        <w:rPr>
          <w:bCs/>
          <w:u w:val="single"/>
        </w:rPr>
        <w:t>d’</w:t>
      </w:r>
      <w:proofErr w:type="spellStart"/>
      <w:r>
        <w:rPr>
          <w:bCs/>
          <w:u w:val="single"/>
        </w:rPr>
        <w:t>Hoop</w:t>
      </w:r>
      <w:proofErr w:type="spellEnd"/>
      <w:r>
        <w:rPr>
          <w:bCs/>
        </w:rPr>
        <w:t>.</w:t>
      </w:r>
    </w:p>
    <w:p w:rsidR="00D00120" w:rsidRDefault="00D00120" w:rsidP="00D00120">
      <w:pPr>
        <w:pStyle w:val="Listepuces"/>
        <w:ind w:left="0" w:right="-574" w:firstLine="0"/>
        <w:jc w:val="both"/>
        <w:rPr>
          <w:bCs/>
        </w:rPr>
      </w:pPr>
    </w:p>
    <w:p w:rsidR="00D00120" w:rsidRDefault="00D00120" w:rsidP="00D00120">
      <w:pPr>
        <w:pStyle w:val="Listepuces"/>
        <w:ind w:left="0" w:right="-574" w:firstLine="0"/>
        <w:jc w:val="both"/>
        <w:rPr>
          <w:bCs/>
        </w:rPr>
      </w:pPr>
      <w:r>
        <w:rPr>
          <w:bCs/>
        </w:rPr>
        <w:t xml:space="preserve">Paul </w:t>
      </w:r>
      <w:proofErr w:type="spellStart"/>
      <w:r>
        <w:rPr>
          <w:bCs/>
          <w:u w:val="single"/>
        </w:rPr>
        <w:t>Péricchi</w:t>
      </w:r>
      <w:proofErr w:type="spellEnd"/>
      <w:r>
        <w:rPr>
          <w:bCs/>
        </w:rPr>
        <w:t xml:space="preserve"> remercie vivement </w:t>
      </w:r>
      <w:proofErr w:type="spellStart"/>
      <w:r>
        <w:rPr>
          <w:bCs/>
        </w:rPr>
        <w:t>Eric</w:t>
      </w:r>
      <w:proofErr w:type="spellEnd"/>
      <w:r>
        <w:rPr>
          <w:bCs/>
        </w:rPr>
        <w:t xml:space="preserve"> </w:t>
      </w:r>
      <w:r>
        <w:rPr>
          <w:bCs/>
          <w:u w:val="single"/>
        </w:rPr>
        <w:t>Normand</w:t>
      </w:r>
      <w:r>
        <w:rPr>
          <w:bCs/>
        </w:rPr>
        <w:t xml:space="preserve"> pour sa présentation qui a séduit l’auditoire nombreux et réactif et le félicite pour son enthousiasme communicatif.</w:t>
      </w:r>
    </w:p>
    <w:p w:rsidR="00D00120" w:rsidRDefault="00D00120" w:rsidP="00D00120">
      <w:pPr>
        <w:tabs>
          <w:tab w:val="left" w:pos="900"/>
        </w:tabs>
        <w:ind w:right="-574"/>
        <w:jc w:val="center"/>
        <w:rPr>
          <w:b/>
          <w:bCs/>
        </w:rPr>
      </w:pPr>
      <w:r>
        <w:rPr>
          <w:b/>
          <w:bCs/>
        </w:rPr>
        <w:t>Liens vers les sites internet</w:t>
      </w:r>
    </w:p>
    <w:p w:rsidR="00D00120" w:rsidRDefault="00D00120" w:rsidP="00D00120">
      <w:r>
        <w:rPr>
          <w:rFonts w:ascii="Arial" w:hAnsi="Arial" w:cs="Arial"/>
          <w:sz w:val="19"/>
          <w:szCs w:val="19"/>
          <w:shd w:val="clear" w:color="auto" w:fill="FFFFFF"/>
        </w:rPr>
        <w:t>1. Contexte réglementaire</w:t>
      </w:r>
    </w:p>
    <w:p w:rsidR="00D00120" w:rsidRDefault="00D00120" w:rsidP="00D00120">
      <w:pPr>
        <w:shd w:val="clear" w:color="auto" w:fill="FFFFFF"/>
        <w:rPr>
          <w:rFonts w:ascii="Arial" w:hAnsi="Arial" w:cs="Arial"/>
          <w:sz w:val="19"/>
          <w:szCs w:val="19"/>
        </w:rPr>
      </w:pPr>
      <w:hyperlink r:id="rId6" w:tgtFrame="_blank" w:history="1">
        <w:r>
          <w:rPr>
            <w:rStyle w:val="Lienhypertexte"/>
            <w:rFonts w:cs="Arial"/>
            <w:color w:val="1155CC"/>
            <w:sz w:val="19"/>
            <w:szCs w:val="19"/>
          </w:rPr>
          <w:t>http://www.economie.gouv.fr/vous-orienter/numerique/secteur-public-facture-electronique-obligatoire-en-2017</w:t>
        </w:r>
      </w:hyperlink>
    </w:p>
    <w:p w:rsidR="00D00120" w:rsidRDefault="00D00120" w:rsidP="00D00120">
      <w:pPr>
        <w:shd w:val="clear" w:color="auto" w:fill="FFFFFF"/>
        <w:rPr>
          <w:rFonts w:ascii="Arial" w:hAnsi="Arial" w:cs="Arial"/>
          <w:sz w:val="19"/>
          <w:szCs w:val="19"/>
        </w:rPr>
      </w:pPr>
      <w:r>
        <w:rPr>
          <w:rFonts w:ascii="Arial" w:hAnsi="Arial" w:cs="Arial"/>
          <w:sz w:val="19"/>
          <w:szCs w:val="19"/>
        </w:rPr>
        <w:t>2. Contexte juridique</w:t>
      </w:r>
    </w:p>
    <w:p w:rsidR="00D00120" w:rsidRDefault="00D00120" w:rsidP="00D00120">
      <w:pPr>
        <w:shd w:val="clear" w:color="auto" w:fill="FFFFFF"/>
        <w:rPr>
          <w:rFonts w:ascii="Arial" w:hAnsi="Arial" w:cs="Arial"/>
          <w:sz w:val="19"/>
          <w:szCs w:val="19"/>
        </w:rPr>
      </w:pPr>
      <w:hyperlink r:id="rId7" w:tgtFrame="_blank" w:history="1">
        <w:r>
          <w:rPr>
            <w:rStyle w:val="Lienhypertexte"/>
            <w:rFonts w:cs="Arial"/>
            <w:color w:val="1155CC"/>
            <w:sz w:val="19"/>
            <w:szCs w:val="19"/>
          </w:rPr>
          <w:t>http://www.solutions-numeriques.com/dossiers/les-aspects-juridiques-de-la-dematerialisation-de-documents/</w:t>
        </w:r>
      </w:hyperlink>
    </w:p>
    <w:p w:rsidR="00D00120" w:rsidRDefault="00D00120" w:rsidP="00D00120">
      <w:pPr>
        <w:shd w:val="clear" w:color="auto" w:fill="FFFFFF"/>
        <w:rPr>
          <w:rFonts w:ascii="Arial" w:hAnsi="Arial" w:cs="Arial"/>
          <w:sz w:val="19"/>
          <w:szCs w:val="19"/>
        </w:rPr>
      </w:pPr>
      <w:hyperlink r:id="rId8" w:tgtFrame="_blank" w:history="1">
        <w:r>
          <w:rPr>
            <w:rStyle w:val="Lienhypertexte"/>
            <w:rFonts w:cs="Arial"/>
            <w:color w:val="1155CC"/>
            <w:sz w:val="19"/>
            <w:szCs w:val="19"/>
          </w:rPr>
          <w:t>https://fr.m.wikipedia.org/wiki/Signature_électronique</w:t>
        </w:r>
      </w:hyperlink>
    </w:p>
    <w:p w:rsidR="00D00120" w:rsidRDefault="00D00120" w:rsidP="00D00120">
      <w:pPr>
        <w:shd w:val="clear" w:color="auto" w:fill="FFFFFF"/>
        <w:rPr>
          <w:rFonts w:ascii="Arial" w:hAnsi="Arial" w:cs="Arial"/>
          <w:sz w:val="19"/>
          <w:szCs w:val="19"/>
        </w:rPr>
      </w:pPr>
      <w:r>
        <w:rPr>
          <w:rFonts w:ascii="Arial" w:hAnsi="Arial" w:cs="Arial"/>
          <w:sz w:val="19"/>
          <w:szCs w:val="19"/>
        </w:rPr>
        <w:t>3. Rôle de l'Etat</w:t>
      </w:r>
    </w:p>
    <w:p w:rsidR="00D00120" w:rsidRDefault="00D00120" w:rsidP="00D00120">
      <w:pPr>
        <w:shd w:val="clear" w:color="auto" w:fill="FFFFFF"/>
        <w:rPr>
          <w:rFonts w:ascii="Arial" w:hAnsi="Arial" w:cs="Arial"/>
          <w:sz w:val="19"/>
          <w:szCs w:val="19"/>
        </w:rPr>
      </w:pPr>
      <w:hyperlink r:id="rId9" w:tgtFrame="_blank" w:history="1">
        <w:r>
          <w:rPr>
            <w:rStyle w:val="Lienhypertexte"/>
            <w:rFonts w:cs="Arial"/>
            <w:color w:val="1155CC"/>
            <w:sz w:val="19"/>
            <w:szCs w:val="19"/>
          </w:rPr>
          <w:t>https://fr.m.wikipedia.org/wiki/Référentiel_Général_de_Sécurité</w:t>
        </w:r>
      </w:hyperlink>
    </w:p>
    <w:p w:rsidR="00D00120" w:rsidRDefault="00D00120" w:rsidP="00D00120">
      <w:pPr>
        <w:shd w:val="clear" w:color="auto" w:fill="FFFFFF"/>
        <w:rPr>
          <w:rFonts w:ascii="Arial" w:hAnsi="Arial" w:cs="Arial"/>
          <w:sz w:val="19"/>
          <w:szCs w:val="19"/>
        </w:rPr>
      </w:pPr>
      <w:hyperlink r:id="rId10" w:tgtFrame="_blank" w:history="1">
        <w:r>
          <w:rPr>
            <w:rStyle w:val="Lienhypertexte"/>
            <w:rFonts w:cs="Arial"/>
            <w:color w:val="1155CC"/>
            <w:sz w:val="19"/>
            <w:szCs w:val="19"/>
          </w:rPr>
          <w:t>http://references.modernisation.gouv.fr/liste-des-offres-référencées</w:t>
        </w:r>
      </w:hyperlink>
    </w:p>
    <w:p w:rsidR="00D00120" w:rsidRDefault="00D00120" w:rsidP="00D00120">
      <w:pPr>
        <w:shd w:val="clear" w:color="auto" w:fill="FFFFFF"/>
        <w:rPr>
          <w:rFonts w:ascii="Arial" w:hAnsi="Arial" w:cs="Arial"/>
          <w:sz w:val="19"/>
          <w:szCs w:val="19"/>
        </w:rPr>
      </w:pPr>
      <w:hyperlink r:id="rId11" w:tgtFrame="_blank" w:history="1">
        <w:r>
          <w:rPr>
            <w:rStyle w:val="Lienhypertexte"/>
            <w:rFonts w:cs="Arial"/>
            <w:color w:val="1155CC"/>
            <w:sz w:val="19"/>
            <w:szCs w:val="19"/>
          </w:rPr>
          <w:t>http://www.economie.gouv.fr/files/files/directions_services/daj/marches_publics/actualites/plan-national-dematerialisation-marches-publics.pdf</w:t>
        </w:r>
      </w:hyperlink>
    </w:p>
    <w:p w:rsidR="00D00120" w:rsidRDefault="00D00120" w:rsidP="00D00120">
      <w:pPr>
        <w:shd w:val="clear" w:color="auto" w:fill="FFFFFF"/>
        <w:rPr>
          <w:rFonts w:ascii="Arial" w:hAnsi="Arial" w:cs="Arial"/>
          <w:sz w:val="19"/>
          <w:szCs w:val="19"/>
        </w:rPr>
      </w:pPr>
      <w:r>
        <w:rPr>
          <w:rFonts w:ascii="Arial" w:hAnsi="Arial" w:cs="Arial"/>
          <w:sz w:val="19"/>
          <w:szCs w:val="19"/>
        </w:rPr>
        <w:t>4. Aspects conduite du changement</w:t>
      </w:r>
    </w:p>
    <w:p w:rsidR="00D00120" w:rsidRDefault="00D00120" w:rsidP="00D00120">
      <w:pPr>
        <w:shd w:val="clear" w:color="auto" w:fill="FFFFFF"/>
        <w:rPr>
          <w:rFonts w:ascii="Arial" w:hAnsi="Arial" w:cs="Arial"/>
          <w:sz w:val="19"/>
          <w:szCs w:val="19"/>
        </w:rPr>
      </w:pPr>
      <w:hyperlink r:id="rId12" w:tgtFrame="_blank" w:history="1">
        <w:r>
          <w:rPr>
            <w:rStyle w:val="Lienhypertexte"/>
            <w:rFonts w:cs="Arial"/>
            <w:color w:val="1155CC"/>
            <w:sz w:val="19"/>
            <w:szCs w:val="19"/>
          </w:rPr>
          <w:t>http://www.usine-digitale.fr/article/dematerialiser-ses-donnees-4-5-mener-la-conduite-du-changement.N209610</w:t>
        </w:r>
      </w:hyperlink>
    </w:p>
    <w:p w:rsidR="00345A58" w:rsidRDefault="00D00120" w:rsidP="00D00120">
      <w:hyperlink r:id="rId13" w:tgtFrame="_blank" w:history="1">
        <w:r>
          <w:rPr>
            <w:rStyle w:val="Lienhypertexte"/>
            <w:rFonts w:cs="Arial"/>
            <w:color w:val="1155CC"/>
            <w:sz w:val="19"/>
            <w:szCs w:val="19"/>
          </w:rPr>
          <w:t>http://www.sollan.com/www/fr/sollan-news-item/la-conduite-du-changement-facteur-cle-de-reussite-dun-projet-de-dematerialisation</w:t>
        </w:r>
      </w:hyperlink>
      <w:bookmarkStart w:id="0" w:name="_GoBack"/>
      <w:bookmarkEnd w:id="0"/>
    </w:p>
    <w:sectPr w:rsidR="00345A58" w:rsidSect="00345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4456"/>
    <w:multiLevelType w:val="hybridMultilevel"/>
    <w:tmpl w:val="B8F628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20"/>
    <w:rsid w:val="000837DA"/>
    <w:rsid w:val="00345A58"/>
    <w:rsid w:val="0048206E"/>
    <w:rsid w:val="004B406D"/>
    <w:rsid w:val="00657F35"/>
    <w:rsid w:val="00837C12"/>
    <w:rsid w:val="008B71E8"/>
    <w:rsid w:val="009D6D99"/>
    <w:rsid w:val="00D00120"/>
    <w:rsid w:val="00FB79F5"/>
    <w:rsid w:val="00FC09B2"/>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D00120"/>
    <w:pPr>
      <w:spacing w:after="0" w:line="240" w:lineRule="auto"/>
      <w:ind w:left="283" w:hanging="283"/>
    </w:pPr>
    <w:rPr>
      <w:rFonts w:ascii="Palatino Linotype" w:eastAsia="Times New Roman" w:hAnsi="Palatino Linotype" w:cs="Times"/>
      <w:color w:val="000000"/>
      <w:lang w:eastAsia="fr-FR"/>
    </w:rPr>
  </w:style>
  <w:style w:type="character" w:styleId="Lienhypertexte">
    <w:name w:val="Hyperlink"/>
    <w:semiHidden/>
    <w:unhideWhenUsed/>
    <w:rsid w:val="00D00120"/>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D00120"/>
    <w:pPr>
      <w:spacing w:after="0" w:line="240" w:lineRule="auto"/>
      <w:ind w:left="283" w:hanging="283"/>
    </w:pPr>
    <w:rPr>
      <w:rFonts w:ascii="Palatino Linotype" w:eastAsia="Times New Roman" w:hAnsi="Palatino Linotype" w:cs="Times"/>
      <w:color w:val="000000"/>
      <w:lang w:eastAsia="fr-FR"/>
    </w:rPr>
  </w:style>
  <w:style w:type="character" w:styleId="Lienhypertexte">
    <w:name w:val="Hyperlink"/>
    <w:semiHidden/>
    <w:unhideWhenUsed/>
    <w:rsid w:val="00D0012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m.wikipedia.org/wiki/Signature_%C3%A9lectronique" TargetMode="External"/><Relationship Id="rId13" Type="http://schemas.openxmlformats.org/officeDocument/2006/relationships/hyperlink" Target="http://www.sollan.com/www/fr/sollan-news-item/la-conduite-du-changement-facteur-cle-de-reussite-dun-projet-de-dematerialisation" TargetMode="External"/><Relationship Id="rId3" Type="http://schemas.microsoft.com/office/2007/relationships/stylesWithEffects" Target="stylesWithEffects.xml"/><Relationship Id="rId7" Type="http://schemas.openxmlformats.org/officeDocument/2006/relationships/hyperlink" Target="http://www.solutions-numeriques.com/dossiers/les-aspects-juridiques-de-la-dematerialisation-de-documents/" TargetMode="External"/><Relationship Id="rId12" Type="http://schemas.openxmlformats.org/officeDocument/2006/relationships/hyperlink" Target="http://www.usine-digitale.fr/article/dematerialiser-ses-donnees-4-5-mener-la-conduite-du-changement.N209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e.gouv.fr/vous-orienter/numerique/secteur-public-facture-electronique-obligatoire-en-2017" TargetMode="External"/><Relationship Id="rId11" Type="http://schemas.openxmlformats.org/officeDocument/2006/relationships/hyperlink" Target="http://www.economie.gouv.fr/files/files/directions_services/daj/marches_publics/actualites/plan-national-dematerialisation-marches-public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ferences.modernisation.gouv.fr/liste-des-offres-r%C3%A9f%C3%A9renc%C3%A9es" TargetMode="External"/><Relationship Id="rId4" Type="http://schemas.openxmlformats.org/officeDocument/2006/relationships/settings" Target="settings.xml"/><Relationship Id="rId9" Type="http://schemas.openxmlformats.org/officeDocument/2006/relationships/hyperlink" Target="https://fr.m.wikipedia.org/wiki/R%C3%A9f%C3%A9rentiel_G%C3%A9n%C3%A9ral_de_S%C3%A9curit%C3%A9"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3878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solery</dc:creator>
  <cp:lastModifiedBy>solery</cp:lastModifiedBy>
  <cp:revision>1</cp:revision>
  <dcterms:created xsi:type="dcterms:W3CDTF">2016-03-02T15:35:00Z</dcterms:created>
  <dcterms:modified xsi:type="dcterms:W3CDTF">2016-03-02T15:35:00Z</dcterms:modified>
</cp:coreProperties>
</file>