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32" w:rsidRPr="009C0E32" w:rsidRDefault="009C0E32">
      <w:pPr>
        <w:rPr>
          <w:sz w:val="32"/>
        </w:rPr>
      </w:pPr>
      <w:r w:rsidRPr="009C0E32">
        <w:rPr>
          <w:sz w:val="32"/>
        </w:rPr>
        <w:t>22 mars</w:t>
      </w:r>
    </w:p>
    <w:p w:rsidR="009C0E32" w:rsidRPr="009C0E32" w:rsidRDefault="009C0E32" w:rsidP="009C0E32">
      <w:pPr>
        <w:spacing w:after="0" w:line="240" w:lineRule="auto"/>
        <w:ind w:right="-574"/>
        <w:jc w:val="both"/>
        <w:rPr>
          <w:rFonts w:ascii="Palatino Linotype" w:eastAsia="Times New Roman" w:hAnsi="Palatino Linotype" w:cs="Times"/>
          <w:bCs/>
          <w:color w:val="000000"/>
          <w:lang w:eastAsia="fr-FR"/>
        </w:rPr>
      </w:pPr>
      <w:r w:rsidRPr="009C0E32">
        <w:rPr>
          <w:rFonts w:ascii="Palatino Linotype" w:eastAsia="Times New Roman" w:hAnsi="Palatino Linotype" w:cs="Times"/>
          <w:b/>
          <w:bCs/>
          <w:color w:val="000000"/>
          <w:lang w:eastAsia="fr-FR"/>
        </w:rPr>
        <w:t>Accueil </w:t>
      </w:r>
      <w:r w:rsidRPr="009C0E32">
        <w:rPr>
          <w:rFonts w:ascii="Palatino Linotype" w:eastAsia="Times New Roman" w:hAnsi="Palatino Linotype" w:cs="Times"/>
          <w:bCs/>
          <w:color w:val="000000"/>
          <w:lang w:eastAsia="fr-FR"/>
        </w:rPr>
        <w:t xml:space="preserve">: </w:t>
      </w:r>
    </w:p>
    <w:p w:rsidR="009C0E32" w:rsidRPr="009C0E32" w:rsidRDefault="009C0E32" w:rsidP="009C0E32">
      <w:pPr>
        <w:spacing w:after="0" w:line="240" w:lineRule="auto"/>
        <w:ind w:right="-574"/>
        <w:jc w:val="both"/>
        <w:rPr>
          <w:rFonts w:ascii="Palatino Linotype" w:eastAsia="Times New Roman" w:hAnsi="Palatino Linotype" w:cs="Times"/>
          <w:bCs/>
          <w:color w:val="000000"/>
          <w:lang w:eastAsia="fr-FR"/>
        </w:rPr>
      </w:pPr>
      <w:r w:rsidRPr="009C0E32">
        <w:rPr>
          <w:rFonts w:ascii="Palatino Linotype" w:eastAsia="Times New Roman" w:hAnsi="Palatino Linotype" w:cs="Times"/>
          <w:bCs/>
          <w:color w:val="000000"/>
          <w:lang w:eastAsia="fr-FR"/>
        </w:rPr>
        <w:t xml:space="preserve">Christian </w:t>
      </w:r>
      <w:proofErr w:type="spellStart"/>
      <w:r w:rsidRPr="009C0E32">
        <w:rPr>
          <w:rFonts w:ascii="Palatino Linotype" w:eastAsia="Times New Roman" w:hAnsi="Palatino Linotype" w:cs="Times"/>
          <w:bCs/>
          <w:color w:val="000000"/>
          <w:u w:val="single"/>
          <w:lang w:eastAsia="fr-FR"/>
        </w:rPr>
        <w:t>del</w:t>
      </w:r>
      <w:proofErr w:type="spellEnd"/>
      <w:r w:rsidRPr="009C0E32">
        <w:rPr>
          <w:rFonts w:ascii="Palatino Linotype" w:eastAsia="Times New Roman" w:hAnsi="Palatino Linotype" w:cs="Times"/>
          <w:bCs/>
          <w:color w:val="000000"/>
          <w:u w:val="single"/>
          <w:lang w:eastAsia="fr-FR"/>
        </w:rPr>
        <w:t xml:space="preserve"> </w:t>
      </w:r>
      <w:proofErr w:type="spellStart"/>
      <w:r w:rsidRPr="009C0E32">
        <w:rPr>
          <w:rFonts w:ascii="Palatino Linotype" w:eastAsia="Times New Roman" w:hAnsi="Palatino Linotype" w:cs="Times"/>
          <w:bCs/>
          <w:color w:val="000000"/>
          <w:u w:val="single"/>
          <w:lang w:eastAsia="fr-FR"/>
        </w:rPr>
        <w:t>Fondo</w:t>
      </w:r>
      <w:proofErr w:type="spellEnd"/>
      <w:r w:rsidRPr="009C0E32">
        <w:rPr>
          <w:rFonts w:ascii="Palatino Linotype" w:eastAsia="Times New Roman" w:hAnsi="Palatino Linotype" w:cs="Times"/>
          <w:bCs/>
          <w:color w:val="000000"/>
          <w:lang w:eastAsia="fr-FR"/>
        </w:rPr>
        <w:t xml:space="preserve"> (MS92), ingénieur de formation, rejoint CC en qualité de consultant en organisation. Il présentera ultérieurement son offre commerciale.</w:t>
      </w:r>
    </w:p>
    <w:p w:rsidR="009C0E32" w:rsidRPr="009C0E32" w:rsidRDefault="009C0E32" w:rsidP="009C0E32">
      <w:pPr>
        <w:spacing w:after="0" w:line="240" w:lineRule="auto"/>
        <w:ind w:right="-574"/>
        <w:jc w:val="both"/>
        <w:rPr>
          <w:rFonts w:ascii="Palatino Linotype" w:eastAsia="Times New Roman" w:hAnsi="Palatino Linotype" w:cs="Times"/>
          <w:bCs/>
          <w:color w:val="000000"/>
          <w:lang w:eastAsia="fr-FR"/>
        </w:rPr>
      </w:pPr>
      <w:r w:rsidRPr="009C0E32">
        <w:rPr>
          <w:rFonts w:ascii="Palatino Linotype" w:eastAsia="Times New Roman" w:hAnsi="Palatino Linotype" w:cs="Times"/>
          <w:bCs/>
          <w:color w:val="000000"/>
          <w:lang w:eastAsia="fr-FR"/>
        </w:rPr>
        <w:t xml:space="preserve">Charles </w:t>
      </w:r>
      <w:r w:rsidRPr="009C0E32">
        <w:rPr>
          <w:rFonts w:ascii="Palatino Linotype" w:eastAsia="Times New Roman" w:hAnsi="Palatino Linotype" w:cs="Times"/>
          <w:bCs/>
          <w:color w:val="000000"/>
          <w:u w:val="single"/>
          <w:lang w:eastAsia="fr-FR"/>
        </w:rPr>
        <w:t>Géraud-</w:t>
      </w:r>
      <w:proofErr w:type="spellStart"/>
      <w:r w:rsidRPr="009C0E32">
        <w:rPr>
          <w:rFonts w:ascii="Palatino Linotype" w:eastAsia="Times New Roman" w:hAnsi="Palatino Linotype" w:cs="Times"/>
          <w:bCs/>
          <w:color w:val="000000"/>
          <w:u w:val="single"/>
          <w:lang w:eastAsia="fr-FR"/>
        </w:rPr>
        <w:t>Seroude</w:t>
      </w:r>
      <w:proofErr w:type="spellEnd"/>
      <w:r w:rsidRPr="009C0E32">
        <w:rPr>
          <w:rFonts w:ascii="Palatino Linotype" w:eastAsia="Times New Roman" w:hAnsi="Palatino Linotype" w:cs="Times"/>
          <w:bCs/>
          <w:color w:val="000000"/>
          <w:lang w:eastAsia="fr-FR"/>
        </w:rPr>
        <w:t xml:space="preserve"> (E55) qui a une longue expérience dans la publicité et le marketing, souhaite participer aux réunions de CC.</w:t>
      </w:r>
    </w:p>
    <w:p w:rsidR="009C0E32" w:rsidRPr="009C0E32" w:rsidRDefault="009C0E32" w:rsidP="009C0E32">
      <w:pPr>
        <w:spacing w:after="0" w:line="240" w:lineRule="auto"/>
        <w:ind w:right="-574"/>
        <w:jc w:val="both"/>
        <w:rPr>
          <w:rFonts w:ascii="Palatino Linotype" w:eastAsia="Times New Roman" w:hAnsi="Palatino Linotype" w:cs="Times"/>
          <w:bCs/>
          <w:color w:val="000000"/>
          <w:lang w:eastAsia="fr-FR"/>
        </w:rPr>
      </w:pPr>
    </w:p>
    <w:p w:rsidR="009C0E32" w:rsidRPr="009C0E32" w:rsidRDefault="009C0E32" w:rsidP="009C0E32">
      <w:pPr>
        <w:spacing w:after="0" w:line="240" w:lineRule="auto"/>
        <w:ind w:right="-574"/>
        <w:jc w:val="both"/>
        <w:rPr>
          <w:rFonts w:ascii="Palatino Linotype" w:eastAsia="Times New Roman" w:hAnsi="Palatino Linotype" w:cs="Times"/>
          <w:bCs/>
          <w:color w:val="000000"/>
          <w:lang w:eastAsia="fr-FR"/>
        </w:rPr>
      </w:pPr>
      <w:r w:rsidRPr="009C0E32">
        <w:rPr>
          <w:rFonts w:ascii="Palatino Linotype" w:eastAsia="Times New Roman" w:hAnsi="Palatino Linotype" w:cs="Times"/>
          <w:b/>
          <w:bCs/>
          <w:color w:val="000000"/>
          <w:lang w:eastAsia="fr-FR"/>
        </w:rPr>
        <w:t xml:space="preserve">Intervention de Pierre Moyen et de Philippe Bruel </w:t>
      </w:r>
      <w:r w:rsidRPr="009C0E32">
        <w:rPr>
          <w:rFonts w:ascii="Palatino Linotype" w:eastAsia="Times New Roman" w:hAnsi="Palatino Linotype" w:cs="Times"/>
          <w:bCs/>
          <w:color w:val="000000"/>
          <w:lang w:eastAsia="fr-FR"/>
        </w:rPr>
        <w:t>Ingénieur ECP.</w:t>
      </w:r>
    </w:p>
    <w:p w:rsidR="009C0E32" w:rsidRPr="009C0E32" w:rsidRDefault="009C0E32" w:rsidP="009C0E32">
      <w:pPr>
        <w:spacing w:before="100" w:beforeAutospacing="1" w:after="100" w:afterAutospacing="1" w:line="240" w:lineRule="auto"/>
        <w:rPr>
          <w:rFonts w:ascii="Palatino Linotype" w:eastAsia="Times New Roman" w:hAnsi="Palatino Linotype" w:cs="Arial"/>
          <w:color w:val="000000"/>
          <w:lang w:eastAsia="fr-FR"/>
        </w:rPr>
      </w:pPr>
      <w:r w:rsidRPr="009C0E32">
        <w:rPr>
          <w:rFonts w:ascii="Palatino Linotype" w:eastAsia="Times New Roman" w:hAnsi="Palatino Linotype" w:cs="Arial"/>
          <w:color w:val="000000"/>
          <w:lang w:eastAsia="fr-FR"/>
        </w:rPr>
        <w:t>Pierre MOYEN est l’animateur d’</w:t>
      </w:r>
      <w:r w:rsidRPr="009C0E32">
        <w:rPr>
          <w:rFonts w:ascii="Palatino Linotype" w:eastAsia="Times New Roman" w:hAnsi="Palatino Linotype" w:cs="Arial"/>
          <w:b/>
          <w:color w:val="000000"/>
          <w:lang w:eastAsia="fr-FR"/>
        </w:rPr>
        <w:t>OPF</w:t>
      </w:r>
      <w:r w:rsidRPr="009C0E32">
        <w:rPr>
          <w:rFonts w:ascii="Palatino Linotype" w:eastAsia="Times New Roman" w:hAnsi="Palatino Linotype" w:cs="Arial"/>
          <w:color w:val="000000"/>
          <w:lang w:eastAsia="fr-FR"/>
        </w:rPr>
        <w:t xml:space="preserve"> (Open People </w:t>
      </w:r>
      <w:proofErr w:type="spellStart"/>
      <w:r w:rsidRPr="009C0E32">
        <w:rPr>
          <w:rFonts w:ascii="Palatino Linotype" w:eastAsia="Times New Roman" w:hAnsi="Palatino Linotype" w:cs="Arial"/>
          <w:color w:val="000000"/>
          <w:lang w:eastAsia="fr-FR"/>
        </w:rPr>
        <w:t>Factory</w:t>
      </w:r>
      <w:proofErr w:type="spellEnd"/>
      <w:r w:rsidRPr="009C0E32">
        <w:rPr>
          <w:rFonts w:ascii="Palatino Linotype" w:eastAsia="Times New Roman" w:hAnsi="Palatino Linotype" w:cs="Arial"/>
          <w:color w:val="000000"/>
          <w:lang w:eastAsia="fr-FR"/>
        </w:rPr>
        <w:t xml:space="preserve">), un réseau coopératif de consultants indépendants et de start-ups innovantes ; OPF fédère ainsi plusieurs entreprises sous-traitantes, on parle d’ « </w:t>
      </w:r>
      <w:proofErr w:type="spellStart"/>
      <w:r w:rsidRPr="009C0E32">
        <w:rPr>
          <w:rFonts w:ascii="Palatino Linotype" w:eastAsia="Times New Roman" w:hAnsi="Palatino Linotype" w:cs="Arial"/>
          <w:color w:val="000000"/>
          <w:lang w:eastAsia="fr-FR"/>
        </w:rPr>
        <w:t>interprenariat</w:t>
      </w:r>
      <w:proofErr w:type="spellEnd"/>
      <w:r w:rsidRPr="009C0E32">
        <w:rPr>
          <w:rFonts w:ascii="Palatino Linotype" w:eastAsia="Times New Roman" w:hAnsi="Palatino Linotype" w:cs="Arial"/>
          <w:color w:val="000000"/>
          <w:lang w:eastAsia="fr-FR"/>
        </w:rPr>
        <w:t xml:space="preserve"> » pour le distinguer de l’entreprenariat habituel, relatif à une seule entreprise. OPF articule dans son offre les aspects à considérer : économiques, technologiques et sociaux. OPF mutualise le « business </w:t>
      </w:r>
      <w:proofErr w:type="spellStart"/>
      <w:r w:rsidRPr="009C0E32">
        <w:rPr>
          <w:rFonts w:ascii="Palatino Linotype" w:eastAsia="Times New Roman" w:hAnsi="Palatino Linotype" w:cs="Arial"/>
          <w:color w:val="000000"/>
          <w:lang w:eastAsia="fr-FR"/>
        </w:rPr>
        <w:t>development</w:t>
      </w:r>
      <w:proofErr w:type="spellEnd"/>
      <w:r w:rsidRPr="009C0E32">
        <w:rPr>
          <w:rFonts w:ascii="Palatino Linotype" w:eastAsia="Times New Roman" w:hAnsi="Palatino Linotype" w:cs="Arial"/>
          <w:color w:val="000000"/>
          <w:lang w:eastAsia="fr-FR"/>
        </w:rPr>
        <w:t xml:space="preserve"> » (prospection commerciale) pour ses membres. </w:t>
      </w:r>
    </w:p>
    <w:p w:rsidR="009C0E32" w:rsidRPr="009C0E32" w:rsidRDefault="009C0E32" w:rsidP="009C0E32">
      <w:pPr>
        <w:spacing w:before="100" w:beforeAutospacing="1" w:after="100" w:afterAutospacing="1" w:line="240" w:lineRule="auto"/>
        <w:rPr>
          <w:rFonts w:ascii="Palatino Linotype" w:eastAsia="Times New Roman" w:hAnsi="Palatino Linotype" w:cs="Arial"/>
          <w:color w:val="000000"/>
          <w:lang w:eastAsia="fr-FR"/>
        </w:rPr>
      </w:pPr>
      <w:r w:rsidRPr="009C0E32">
        <w:rPr>
          <w:rFonts w:ascii="Palatino Linotype" w:eastAsia="Times New Roman" w:hAnsi="Palatino Linotype" w:cs="Arial"/>
          <w:color w:val="000000"/>
          <w:lang w:eastAsia="fr-FR"/>
        </w:rPr>
        <w:t>Pierre concentre son activité sur le thème suivant : « l’architecture d’entreprise au service de votre stratégie digitale pour développer un avantage compétitif ». Pour cela il s’appuie sur le référentiel TOGAF qu’il considère comme le plus pertinent du marché en matière d’architecture d’entreprise.</w:t>
      </w:r>
    </w:p>
    <w:p w:rsidR="009C0E32" w:rsidRPr="009C0E32" w:rsidRDefault="009C0E32" w:rsidP="009C0E32">
      <w:pPr>
        <w:spacing w:before="100" w:beforeAutospacing="1" w:after="100" w:afterAutospacing="1" w:line="240" w:lineRule="auto"/>
        <w:rPr>
          <w:rFonts w:ascii="Palatino Linotype" w:eastAsia="Times New Roman" w:hAnsi="Palatino Linotype" w:cs="Arial"/>
          <w:color w:val="000000"/>
          <w:lang w:eastAsia="fr-FR"/>
        </w:rPr>
      </w:pPr>
      <w:r w:rsidRPr="009C0E32">
        <w:rPr>
          <w:rFonts w:ascii="Palatino Linotype" w:eastAsia="Times New Roman" w:hAnsi="Palatino Linotype" w:cs="Arial"/>
          <w:b/>
          <w:color w:val="000000"/>
          <w:lang w:eastAsia="fr-FR"/>
        </w:rPr>
        <w:t>ARCHITECTURE D’ENTREPRISE</w:t>
      </w:r>
    </w:p>
    <w:p w:rsidR="009C0E32" w:rsidRPr="009C0E32" w:rsidRDefault="009C0E32" w:rsidP="009C0E32">
      <w:pPr>
        <w:shd w:val="clear" w:color="auto" w:fill="FFFFFF"/>
        <w:spacing w:after="0" w:line="240" w:lineRule="auto"/>
        <w:rPr>
          <w:rFonts w:ascii="Palatino Linotype" w:eastAsia="Times New Roman" w:hAnsi="Palatino Linotype" w:cs="Arial"/>
          <w:color w:val="FF0000"/>
          <w:lang w:eastAsia="fr-FR"/>
        </w:rPr>
      </w:pPr>
      <w:r w:rsidRPr="009C0E32">
        <w:rPr>
          <w:rFonts w:ascii="Palatino Linotype" w:eastAsia="Times New Roman" w:hAnsi="Palatino Linotype" w:cs="Arial"/>
          <w:lang w:eastAsia="fr-FR"/>
        </w:rPr>
        <w:t>L’architecture d’entreprise est une vue globale de l’entreprise faisant le lien entre la stratégie et l’opérationnel. Elle couvre les aspects métier (processus et organisation), système d’information (fonctions) et système informatique (applications et infrastructures techniques). C’est une démarche systémique. L’architecture d’entreprise est particulièrement utile en cas de refonte-réorganisation, fusion-acquisition, scission-cession ou transformation digitale dont la transformation numérique.</w:t>
      </w:r>
      <w:r w:rsidRPr="009C0E32">
        <w:rPr>
          <w:rFonts w:ascii="Palatino Linotype" w:eastAsia="Times New Roman" w:hAnsi="Palatino Linotype" w:cs="Arial"/>
          <w:color w:val="FF0000"/>
          <w:lang w:eastAsia="fr-FR"/>
        </w:rPr>
        <w:t xml:space="preserve"> </w:t>
      </w:r>
    </w:p>
    <w:p w:rsidR="009C0E32" w:rsidRPr="009C0E32" w:rsidRDefault="009C0E32" w:rsidP="009C0E32">
      <w:pPr>
        <w:shd w:val="clear" w:color="auto" w:fill="FFFFFF"/>
        <w:spacing w:after="0" w:line="240" w:lineRule="auto"/>
        <w:rPr>
          <w:rFonts w:ascii="Palatino Linotype" w:eastAsia="Times New Roman" w:hAnsi="Palatino Linotype" w:cs="Arial"/>
          <w:sz w:val="24"/>
          <w:szCs w:val="24"/>
          <w:lang w:eastAsia="fr-FR"/>
        </w:rPr>
      </w:pPr>
      <w:r w:rsidRPr="009C0E32">
        <w:rPr>
          <w:rFonts w:ascii="Palatino Linotype" w:eastAsia="Times New Roman" w:hAnsi="Palatino Linotype" w:cs="Arial"/>
          <w:lang w:eastAsia="fr-FR"/>
        </w:rPr>
        <w:t>Le cadre Architecture d'entreprise, outil de méthode, est particulièrement adapté pour mettre sous contrôle les transformations complexes, multidimensionnelles, en amélioration continue.</w:t>
      </w:r>
    </w:p>
    <w:p w:rsidR="009C0E32" w:rsidRPr="009C0E32" w:rsidRDefault="009C0E32" w:rsidP="009C0E32">
      <w:pPr>
        <w:shd w:val="clear" w:color="auto" w:fill="FFFFFF"/>
        <w:spacing w:after="0" w:line="240" w:lineRule="auto"/>
        <w:rPr>
          <w:rFonts w:ascii="Palatino Linotype" w:eastAsia="Times New Roman" w:hAnsi="Palatino Linotype" w:cs="Arial"/>
          <w:sz w:val="24"/>
          <w:szCs w:val="24"/>
          <w:lang w:eastAsia="fr-FR"/>
        </w:rPr>
      </w:pPr>
      <w:r w:rsidRPr="009C0E32">
        <w:rPr>
          <w:rFonts w:ascii="Palatino Linotype" w:eastAsia="Times New Roman" w:hAnsi="Palatino Linotype" w:cs="Arial"/>
          <w:lang w:eastAsia="fr-FR"/>
        </w:rPr>
        <w:t>Il met en cohérence les cycles stratégiques, tactiques, opérationnels. C'est une démarche d'alignement stratégique.</w:t>
      </w:r>
    </w:p>
    <w:p w:rsidR="009C0E32" w:rsidRPr="009C0E32" w:rsidRDefault="009C0E32" w:rsidP="009C0E32">
      <w:pPr>
        <w:shd w:val="clear" w:color="auto" w:fill="FFFFFF"/>
        <w:spacing w:after="0" w:line="240" w:lineRule="auto"/>
        <w:rPr>
          <w:rFonts w:ascii="Palatino Linotype" w:eastAsia="Times New Roman" w:hAnsi="Palatino Linotype" w:cs="Arial"/>
          <w:lang w:eastAsia="fr-FR"/>
        </w:rPr>
      </w:pPr>
      <w:r w:rsidRPr="009C0E32">
        <w:rPr>
          <w:rFonts w:ascii="Palatino Linotype" w:eastAsia="Times New Roman" w:hAnsi="Palatino Linotype" w:cs="Arial"/>
          <w:lang w:eastAsia="fr-FR"/>
        </w:rPr>
        <w:t>Il articule de manière équilibrée la vision (planification de la valeur), la conception (identification de la valeur), la transformation (création de la valeur), l'optimisation (gouvernance de la valeur).</w:t>
      </w:r>
    </w:p>
    <w:p w:rsidR="009C0E32" w:rsidRPr="009C0E32" w:rsidRDefault="009C0E32" w:rsidP="009C0E32">
      <w:pPr>
        <w:shd w:val="clear" w:color="auto" w:fill="FFFFFF"/>
        <w:spacing w:after="0" w:line="240" w:lineRule="auto"/>
        <w:rPr>
          <w:rFonts w:ascii="Palatino Linotype" w:eastAsia="Times New Roman" w:hAnsi="Palatino Linotype" w:cs="Arial"/>
          <w:sz w:val="24"/>
          <w:szCs w:val="24"/>
          <w:lang w:eastAsia="fr-FR"/>
        </w:rPr>
      </w:pPr>
      <w:r w:rsidRPr="009C0E32">
        <w:rPr>
          <w:rFonts w:ascii="Palatino Linotype" w:eastAsia="Times New Roman" w:hAnsi="Palatino Linotype" w:cs="Arial"/>
          <w:lang w:eastAsia="fr-FR"/>
        </w:rPr>
        <w:t>Il requiert de mobiliser et d'impliquer les parties prenantes autour d'une vision commune et partagée (Intelligence collective) et d'intégrer les différents points de vue.</w:t>
      </w:r>
    </w:p>
    <w:p w:rsidR="009C0E32" w:rsidRPr="009C0E32" w:rsidRDefault="009C0E32" w:rsidP="009C0E32">
      <w:pPr>
        <w:shd w:val="clear" w:color="auto" w:fill="FFFFFF"/>
        <w:spacing w:after="0" w:line="240" w:lineRule="auto"/>
        <w:rPr>
          <w:rFonts w:ascii="Palatino Linotype" w:eastAsia="Times New Roman" w:hAnsi="Palatino Linotype" w:cs="Arial"/>
          <w:lang w:eastAsia="fr-FR"/>
        </w:rPr>
      </w:pPr>
      <w:r w:rsidRPr="009C0E32">
        <w:rPr>
          <w:rFonts w:ascii="Palatino Linotype" w:eastAsia="Times New Roman" w:hAnsi="Palatino Linotype" w:cs="Arial"/>
          <w:lang w:eastAsia="fr-FR"/>
        </w:rPr>
        <w:t>Il peut intégrer les différents référentiels du marché (</w:t>
      </w:r>
      <w:proofErr w:type="spellStart"/>
      <w:r w:rsidRPr="009C0E32">
        <w:rPr>
          <w:rFonts w:ascii="Palatino Linotype" w:eastAsia="Times New Roman" w:hAnsi="Palatino Linotype" w:cs="Arial"/>
          <w:lang w:eastAsia="fr-FR"/>
        </w:rPr>
        <w:t>Togaf</w:t>
      </w:r>
      <w:proofErr w:type="spellEnd"/>
      <w:r w:rsidRPr="009C0E32">
        <w:rPr>
          <w:rFonts w:ascii="Palatino Linotype" w:eastAsia="Times New Roman" w:hAnsi="Palatino Linotype" w:cs="Arial"/>
          <w:lang w:eastAsia="fr-FR"/>
        </w:rPr>
        <w:t xml:space="preserve">, </w:t>
      </w:r>
      <w:proofErr w:type="spellStart"/>
      <w:r w:rsidRPr="009C0E32">
        <w:rPr>
          <w:rFonts w:ascii="Palatino Linotype" w:eastAsia="Times New Roman" w:hAnsi="Palatino Linotype" w:cs="Arial"/>
          <w:lang w:eastAsia="fr-FR"/>
        </w:rPr>
        <w:t>CMMi</w:t>
      </w:r>
      <w:proofErr w:type="spellEnd"/>
      <w:r w:rsidRPr="009C0E32">
        <w:rPr>
          <w:rFonts w:ascii="Palatino Linotype" w:eastAsia="Times New Roman" w:hAnsi="Palatino Linotype" w:cs="Arial"/>
          <w:lang w:eastAsia="fr-FR"/>
        </w:rPr>
        <w:t xml:space="preserve">, PMI, </w:t>
      </w:r>
      <w:proofErr w:type="spellStart"/>
      <w:r w:rsidRPr="009C0E32">
        <w:rPr>
          <w:rFonts w:ascii="Palatino Linotype" w:eastAsia="Times New Roman" w:hAnsi="Palatino Linotype" w:cs="Arial"/>
          <w:lang w:eastAsia="fr-FR"/>
        </w:rPr>
        <w:t>Cobit</w:t>
      </w:r>
      <w:proofErr w:type="spellEnd"/>
      <w:r w:rsidRPr="009C0E32">
        <w:rPr>
          <w:rFonts w:ascii="Palatino Linotype" w:eastAsia="Times New Roman" w:hAnsi="Palatino Linotype" w:cs="Arial"/>
          <w:lang w:eastAsia="fr-FR"/>
        </w:rPr>
        <w:t xml:space="preserve">, Value IT, </w:t>
      </w:r>
      <w:proofErr w:type="spellStart"/>
      <w:r w:rsidRPr="009C0E32">
        <w:rPr>
          <w:rFonts w:ascii="Palatino Linotype" w:eastAsia="Times New Roman" w:hAnsi="Palatino Linotype" w:cs="Arial"/>
          <w:lang w:eastAsia="fr-FR"/>
        </w:rPr>
        <w:t>Risk</w:t>
      </w:r>
      <w:proofErr w:type="spellEnd"/>
      <w:r w:rsidRPr="009C0E32">
        <w:rPr>
          <w:rFonts w:ascii="Palatino Linotype" w:eastAsia="Times New Roman" w:hAnsi="Palatino Linotype" w:cs="Arial"/>
          <w:lang w:eastAsia="fr-FR"/>
        </w:rPr>
        <w:t xml:space="preserve"> IT, ITIL) et la démarche de Michael Porter (</w:t>
      </w:r>
      <w:proofErr w:type="spellStart"/>
      <w:r w:rsidRPr="009C0E32">
        <w:rPr>
          <w:rFonts w:ascii="Palatino Linotype" w:eastAsia="Times New Roman" w:hAnsi="Palatino Linotype" w:cs="Arial"/>
          <w:lang w:eastAsia="fr-FR"/>
        </w:rPr>
        <w:t>Competitive</w:t>
      </w:r>
      <w:proofErr w:type="spellEnd"/>
      <w:r w:rsidRPr="009C0E32">
        <w:rPr>
          <w:rFonts w:ascii="Palatino Linotype" w:eastAsia="Times New Roman" w:hAnsi="Palatino Linotype" w:cs="Arial"/>
          <w:lang w:eastAsia="fr-FR"/>
        </w:rPr>
        <w:t xml:space="preserve"> </w:t>
      </w:r>
      <w:proofErr w:type="spellStart"/>
      <w:r w:rsidRPr="009C0E32">
        <w:rPr>
          <w:rFonts w:ascii="Palatino Linotype" w:eastAsia="Times New Roman" w:hAnsi="Palatino Linotype" w:cs="Arial"/>
          <w:lang w:eastAsia="fr-FR"/>
        </w:rPr>
        <w:t>Advantage</w:t>
      </w:r>
      <w:proofErr w:type="spellEnd"/>
      <w:r w:rsidRPr="009C0E32">
        <w:rPr>
          <w:rFonts w:ascii="Palatino Linotype" w:eastAsia="Times New Roman" w:hAnsi="Palatino Linotype" w:cs="Arial"/>
          <w:lang w:eastAsia="fr-FR"/>
        </w:rPr>
        <w:t xml:space="preserve">) et le </w:t>
      </w:r>
      <w:proofErr w:type="spellStart"/>
      <w:r w:rsidRPr="009C0E32">
        <w:rPr>
          <w:rFonts w:ascii="Palatino Linotype" w:eastAsia="Times New Roman" w:hAnsi="Palatino Linotype" w:cs="Arial"/>
          <w:lang w:eastAsia="fr-FR"/>
        </w:rPr>
        <w:t>Balanced</w:t>
      </w:r>
      <w:proofErr w:type="spellEnd"/>
      <w:r w:rsidRPr="009C0E32">
        <w:rPr>
          <w:rFonts w:ascii="Palatino Linotype" w:eastAsia="Times New Roman" w:hAnsi="Palatino Linotype" w:cs="Arial"/>
          <w:lang w:eastAsia="fr-FR"/>
        </w:rPr>
        <w:t xml:space="preserve"> </w:t>
      </w:r>
      <w:proofErr w:type="spellStart"/>
      <w:r w:rsidRPr="009C0E32">
        <w:rPr>
          <w:rFonts w:ascii="Palatino Linotype" w:eastAsia="Times New Roman" w:hAnsi="Palatino Linotype" w:cs="Arial"/>
          <w:lang w:eastAsia="fr-FR"/>
        </w:rPr>
        <w:t>Scorecard</w:t>
      </w:r>
      <w:proofErr w:type="spellEnd"/>
      <w:r w:rsidRPr="009C0E32">
        <w:rPr>
          <w:rFonts w:ascii="Palatino Linotype" w:eastAsia="Times New Roman" w:hAnsi="Palatino Linotype" w:cs="Arial"/>
          <w:lang w:eastAsia="fr-FR"/>
        </w:rPr>
        <w:t xml:space="preserve"> (Norton/Kaplan).</w:t>
      </w:r>
    </w:p>
    <w:p w:rsidR="009C0E32" w:rsidRPr="009C0E32" w:rsidRDefault="009C0E32" w:rsidP="009C0E32">
      <w:pPr>
        <w:shd w:val="clear" w:color="auto" w:fill="FFFFFF"/>
        <w:spacing w:after="0" w:line="240" w:lineRule="auto"/>
        <w:rPr>
          <w:rFonts w:ascii="Palatino Linotype" w:eastAsia="Times New Roman" w:hAnsi="Palatino Linotype" w:cs="Arial"/>
          <w:lang w:eastAsia="fr-FR"/>
        </w:rPr>
      </w:pPr>
      <w:r w:rsidRPr="009C0E32">
        <w:rPr>
          <w:rFonts w:ascii="Palatino Linotype" w:eastAsia="Times New Roman" w:hAnsi="Palatino Linotype" w:cs="Arial"/>
          <w:lang w:eastAsia="fr-FR"/>
        </w:rPr>
        <w:t xml:space="preserve">Il permet de développer des capacités dynamiques (de </w:t>
      </w:r>
      <w:proofErr w:type="spellStart"/>
      <w:r w:rsidRPr="009C0E32">
        <w:rPr>
          <w:rFonts w:ascii="Palatino Linotype" w:eastAsia="Times New Roman" w:hAnsi="Palatino Linotype" w:cs="Arial"/>
          <w:lang w:eastAsia="fr-FR"/>
        </w:rPr>
        <w:t>capacity</w:t>
      </w:r>
      <w:proofErr w:type="spellEnd"/>
      <w:r w:rsidRPr="009C0E32">
        <w:rPr>
          <w:rFonts w:ascii="Palatino Linotype" w:eastAsia="Times New Roman" w:hAnsi="Palatino Linotype" w:cs="Arial"/>
          <w:lang w:eastAsia="fr-FR"/>
        </w:rPr>
        <w:t xml:space="preserve"> à </w:t>
      </w:r>
      <w:proofErr w:type="spellStart"/>
      <w:r w:rsidRPr="009C0E32">
        <w:rPr>
          <w:rFonts w:ascii="Palatino Linotype" w:eastAsia="Times New Roman" w:hAnsi="Palatino Linotype" w:cs="Arial"/>
          <w:lang w:eastAsia="fr-FR"/>
        </w:rPr>
        <w:t>capability</w:t>
      </w:r>
      <w:proofErr w:type="spellEnd"/>
      <w:r w:rsidRPr="009C0E32">
        <w:rPr>
          <w:rFonts w:ascii="Palatino Linotype" w:eastAsia="Times New Roman" w:hAnsi="Palatino Linotype" w:cs="Arial"/>
          <w:lang w:eastAsia="fr-FR"/>
        </w:rPr>
        <w:t>) et de mettre en œuvre le 'savoir transformer'.</w:t>
      </w:r>
    </w:p>
    <w:p w:rsidR="009C0E32" w:rsidRPr="009C0E32" w:rsidRDefault="009C0E32" w:rsidP="009C0E32">
      <w:pPr>
        <w:spacing w:before="100" w:beforeAutospacing="1" w:after="100" w:afterAutospacing="1" w:line="240" w:lineRule="auto"/>
        <w:rPr>
          <w:rFonts w:ascii="Palatino Linotype" w:eastAsia="Times New Roman" w:hAnsi="Palatino Linotype" w:cs="Arial"/>
          <w:b/>
          <w:color w:val="000000"/>
          <w:lang w:eastAsia="fr-FR"/>
        </w:rPr>
      </w:pPr>
      <w:r w:rsidRPr="009C0E32">
        <w:rPr>
          <w:rFonts w:ascii="Palatino Linotype" w:eastAsia="Times New Roman" w:hAnsi="Palatino Linotype" w:cs="Arial"/>
          <w:b/>
          <w:color w:val="000000"/>
          <w:lang w:eastAsia="fr-FR"/>
        </w:rPr>
        <w:t> TOGAF</w:t>
      </w:r>
    </w:p>
    <w:p w:rsidR="009C0E32" w:rsidRPr="009C0E32" w:rsidRDefault="009C0E32" w:rsidP="009C0E32">
      <w:pPr>
        <w:spacing w:before="100" w:beforeAutospacing="1" w:after="100" w:afterAutospacing="1" w:line="240" w:lineRule="auto"/>
        <w:rPr>
          <w:rFonts w:ascii="Palatino Linotype" w:eastAsia="Times New Roman" w:hAnsi="Palatino Linotype" w:cs="Arial"/>
          <w:color w:val="000000"/>
          <w:lang w:eastAsia="fr-FR"/>
        </w:rPr>
      </w:pPr>
      <w:r w:rsidRPr="009C0E32">
        <w:rPr>
          <w:rFonts w:ascii="Palatino Linotype" w:eastAsia="Times New Roman" w:hAnsi="Palatino Linotype" w:cs="Arial"/>
          <w:color w:val="000000"/>
          <w:lang w:eastAsia="fr-FR"/>
        </w:rPr>
        <w:lastRenderedPageBreak/>
        <w:t>TOGAF est un référentiel américain d’architecture d’entreprise utilisé maintenant partout dans le monde. Il couvre les différents aspects de l’architecture d’entreprise : vision, architecture métier, architecture applicative, architecture technique, transformation et gouvernance. TOGAF définit deux aspects : d’une part la méthode (cycle de vie) de l’architecture d’entreprise et d’autre part le référentiel de connaissance de l’architecture d’entreprise. Le document de référence de TOGAF, disponible gratuitement sur internet, est conséquent (il fait 850 pages), ce qui reflète la complexité de l’architecture d’entreprise.</w:t>
      </w:r>
    </w:p>
    <w:p w:rsidR="009C0E32" w:rsidRPr="009C0E32" w:rsidRDefault="009C0E32" w:rsidP="009C0E32">
      <w:pPr>
        <w:spacing w:before="100" w:beforeAutospacing="1" w:after="0" w:afterAutospacing="1" w:line="240" w:lineRule="auto"/>
        <w:rPr>
          <w:rFonts w:ascii="Palatino Linotype" w:eastAsia="Times New Roman" w:hAnsi="Palatino Linotype" w:cs="Times"/>
          <w:bCs/>
          <w:color w:val="000000"/>
          <w:lang w:eastAsia="fr-FR"/>
        </w:rPr>
      </w:pPr>
      <w:r w:rsidRPr="009C0E32">
        <w:rPr>
          <w:rFonts w:ascii="Palatino Linotype" w:eastAsia="Times New Roman" w:hAnsi="Palatino Linotype" w:cs="Times"/>
          <w:bCs/>
          <w:color w:val="000000"/>
          <w:lang w:eastAsia="fr-FR"/>
        </w:rPr>
        <w:t xml:space="preserve">Paul </w:t>
      </w:r>
      <w:proofErr w:type="spellStart"/>
      <w:r w:rsidRPr="009C0E32">
        <w:rPr>
          <w:rFonts w:ascii="Palatino Linotype" w:eastAsia="Times New Roman" w:hAnsi="Palatino Linotype" w:cs="Times"/>
          <w:bCs/>
          <w:color w:val="000000"/>
          <w:u w:val="single"/>
          <w:lang w:eastAsia="fr-FR"/>
        </w:rPr>
        <w:t>Péricchi</w:t>
      </w:r>
      <w:proofErr w:type="spellEnd"/>
      <w:r w:rsidRPr="009C0E32">
        <w:rPr>
          <w:rFonts w:ascii="Palatino Linotype" w:eastAsia="Times New Roman" w:hAnsi="Palatino Linotype" w:cs="Times"/>
          <w:bCs/>
          <w:color w:val="000000"/>
          <w:lang w:eastAsia="fr-FR"/>
        </w:rPr>
        <w:t xml:space="preserve"> remercie vivement  les intervenants pour cette première réunion chez Cortambert Consultants dans le cadre de l’alliance des deux écoles ESSEC – Centrale </w:t>
      </w:r>
      <w:proofErr w:type="spellStart"/>
      <w:r w:rsidRPr="009C0E32">
        <w:rPr>
          <w:rFonts w:ascii="Palatino Linotype" w:eastAsia="Times New Roman" w:hAnsi="Palatino Linotype" w:cs="Times"/>
          <w:bCs/>
          <w:color w:val="000000"/>
          <w:lang w:eastAsia="fr-FR"/>
        </w:rPr>
        <w:t>Supelec</w:t>
      </w:r>
      <w:proofErr w:type="spellEnd"/>
      <w:r w:rsidRPr="009C0E32">
        <w:rPr>
          <w:rFonts w:ascii="Palatino Linotype" w:eastAsia="Times New Roman" w:hAnsi="Palatino Linotype" w:cs="Times"/>
          <w:bCs/>
          <w:color w:val="000000"/>
          <w:lang w:eastAsia="fr-FR"/>
        </w:rPr>
        <w:t xml:space="preserve"> qui réunit également les </w:t>
      </w:r>
      <w:proofErr w:type="spellStart"/>
      <w:r w:rsidRPr="009C0E32">
        <w:rPr>
          <w:rFonts w:ascii="Palatino Linotype" w:eastAsia="Times New Roman" w:hAnsi="Palatino Linotype" w:cs="Times"/>
          <w:bCs/>
          <w:color w:val="000000"/>
          <w:lang w:eastAsia="fr-FR"/>
        </w:rPr>
        <w:t>alumni</w:t>
      </w:r>
      <w:proofErr w:type="spellEnd"/>
      <w:r w:rsidRPr="009C0E32">
        <w:rPr>
          <w:rFonts w:ascii="Palatino Linotype" w:eastAsia="Times New Roman" w:hAnsi="Palatino Linotype" w:cs="Times"/>
          <w:bCs/>
          <w:color w:val="000000"/>
          <w:lang w:eastAsia="fr-FR"/>
        </w:rPr>
        <w:t xml:space="preserve">. De plus, cette présentation est complémentaire du programme 2016 de CC autour de la Confiance Numérique. A titre indicatif pour nos consultants intéressés, voici les coordonnées de Pierre Moyen : </w:t>
      </w:r>
      <w:hyperlink r:id="rId6" w:history="1">
        <w:r w:rsidRPr="009C0E32">
          <w:rPr>
            <w:rFonts w:ascii="Palatino Linotype" w:eastAsia="Times New Roman" w:hAnsi="Palatino Linotype" w:cs="Times"/>
            <w:bCs/>
            <w:color w:val="0000FF"/>
            <w:u w:val="single"/>
            <w:lang w:eastAsia="fr-FR"/>
          </w:rPr>
          <w:t>pierre.moyen@openpeoplefactory.com</w:t>
        </w:r>
      </w:hyperlink>
      <w:r w:rsidRPr="009C0E32">
        <w:rPr>
          <w:rFonts w:ascii="Palatino Linotype" w:eastAsia="Times New Roman" w:hAnsi="Palatino Linotype" w:cs="Times"/>
          <w:bCs/>
          <w:color w:val="000000"/>
          <w:lang w:eastAsia="fr-FR"/>
        </w:rPr>
        <w:t xml:space="preserve"> 06 78 27 04 23 et de Philippe Bruel : philippe.bruel@openpeoplefactory.com 06 88 08 14 01.  </w:t>
      </w:r>
    </w:p>
    <w:p w:rsidR="009C0E32" w:rsidRDefault="009C0E32">
      <w:bookmarkStart w:id="0" w:name="_GoBack"/>
      <w:bookmarkEnd w:id="0"/>
    </w:p>
    <w:sectPr w:rsidR="009C0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F5021"/>
    <w:multiLevelType w:val="hybridMultilevel"/>
    <w:tmpl w:val="8EAAA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3B41AC"/>
    <w:multiLevelType w:val="hybridMultilevel"/>
    <w:tmpl w:val="4770F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010FFC"/>
    <w:multiLevelType w:val="hybridMultilevel"/>
    <w:tmpl w:val="D55CD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BF24A48"/>
    <w:multiLevelType w:val="hybridMultilevel"/>
    <w:tmpl w:val="F55C8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32"/>
    <w:rsid w:val="004A5DD3"/>
    <w:rsid w:val="007D7F51"/>
    <w:rsid w:val="0084345B"/>
    <w:rsid w:val="009C0E32"/>
    <w:rsid w:val="00B74CDA"/>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9C0E32"/>
    <w:pPr>
      <w:spacing w:after="0" w:line="240" w:lineRule="auto"/>
      <w:ind w:left="283" w:hanging="283"/>
    </w:pPr>
    <w:rPr>
      <w:rFonts w:ascii="Palatino Linotype" w:eastAsia="Times New Roman" w:hAnsi="Palatino Linotype" w:cs="Times"/>
      <w:color w:val="00000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9C0E32"/>
    <w:pPr>
      <w:spacing w:after="0" w:line="240" w:lineRule="auto"/>
      <w:ind w:left="283" w:hanging="283"/>
    </w:pPr>
    <w:rPr>
      <w:rFonts w:ascii="Palatino Linotype" w:eastAsia="Times New Roman" w:hAnsi="Palatino Linotype" w:cs="Time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erre.moyen@openpeoplefactor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603</Words>
  <Characters>3318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Groupe ESSEC</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 Essec</dc:creator>
  <cp:lastModifiedBy>solery</cp:lastModifiedBy>
  <cp:revision>4</cp:revision>
  <dcterms:created xsi:type="dcterms:W3CDTF">2016-06-22T16:24:00Z</dcterms:created>
  <dcterms:modified xsi:type="dcterms:W3CDTF">2016-06-22T16:25:00Z</dcterms:modified>
</cp:coreProperties>
</file>